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1DE0E4A6"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#110</w:t>
      </w:r>
      <w:r w:rsidR="00C14A50">
        <w:rPr>
          <w:rFonts w:ascii="Arial" w:hAnsi="Arial" w:cs="Arial"/>
          <w:b/>
          <w:bCs/>
          <w:sz w:val="28"/>
        </w:rPr>
        <w:t>bis-e</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3429CA" w:rsidRPr="003429CA">
        <w:rPr>
          <w:rFonts w:ascii="Arial" w:hAnsi="Arial" w:cs="Arial"/>
          <w:b/>
          <w:bCs/>
          <w:sz w:val="28"/>
        </w:rPr>
        <w:t>R1-2208842</w:t>
      </w:r>
    </w:p>
    <w:p w14:paraId="2FCCCFDC" w14:textId="5F1BF4C3" w:rsidR="00C6119D" w:rsidRPr="009513AC" w:rsidRDefault="00C14A50" w:rsidP="00C6119D">
      <w:pPr>
        <w:tabs>
          <w:tab w:val="center" w:pos="4536"/>
          <w:tab w:val="right" w:pos="9072"/>
        </w:tabs>
        <w:rPr>
          <w:rFonts w:ascii="Arial" w:eastAsia="MS Mincho" w:hAnsi="Arial" w:cs="Arial"/>
          <w:b/>
          <w:bCs/>
          <w:sz w:val="28"/>
          <w:lang w:eastAsia="ja-JP"/>
        </w:rPr>
      </w:pPr>
      <w:r w:rsidRPr="00C14A50">
        <w:rPr>
          <w:rFonts w:ascii="Arial" w:hAnsi="Arial" w:cs="Arial"/>
          <w:b/>
          <w:bCs/>
          <w:sz w:val="28"/>
        </w:rPr>
        <w:t>e-Meeting, October 10</w:t>
      </w:r>
      <w:r w:rsidRPr="00C14A50">
        <w:rPr>
          <w:rFonts w:ascii="Arial" w:hAnsi="Arial" w:cs="Arial"/>
          <w:b/>
          <w:bCs/>
          <w:sz w:val="28"/>
          <w:vertAlign w:val="superscript"/>
        </w:rPr>
        <w:t>th</w:t>
      </w:r>
      <w:r w:rsidRPr="00C14A50">
        <w:rPr>
          <w:rFonts w:ascii="Arial" w:hAnsi="Arial" w:cs="Arial"/>
          <w:b/>
          <w:bCs/>
          <w:sz w:val="28"/>
        </w:rPr>
        <w:t xml:space="preserve"> – 19</w:t>
      </w:r>
      <w:r w:rsidRPr="00C14A50">
        <w:rPr>
          <w:rFonts w:ascii="Arial" w:hAnsi="Arial" w:cs="Arial"/>
          <w:b/>
          <w:bCs/>
          <w:sz w:val="28"/>
          <w:vertAlign w:val="superscript"/>
        </w:rPr>
        <w:t>th</w:t>
      </w:r>
      <w:r w:rsidRPr="00C14A50">
        <w:rPr>
          <w:rFonts w:ascii="Arial" w:hAnsi="Arial" w:cs="Arial"/>
          <w:b/>
          <w:bCs/>
          <w:sz w:val="28"/>
        </w:rPr>
        <w:t>, 2022</w:t>
      </w:r>
    </w:p>
    <w:p w14:paraId="5F4F0043" w14:textId="2D9B3AF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DD6245">
        <w:rPr>
          <w:rFonts w:ascii="Arial" w:hAnsi="Arial"/>
          <w:b/>
          <w:sz w:val="24"/>
        </w:rPr>
        <w:t>6</w:t>
      </w:r>
      <w:r w:rsidR="00D61960" w:rsidRPr="00D61960">
        <w:rPr>
          <w:rFonts w:ascii="Arial" w:hAnsi="Arial"/>
          <w:b/>
          <w:sz w:val="24"/>
        </w:rPr>
        <w:t>.</w:t>
      </w:r>
      <w:r w:rsidR="00DD6245">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4BE31E40"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14A50" w:rsidRPr="00C14A50">
        <w:rPr>
          <w:rFonts w:ascii="Arial" w:hAnsi="Arial"/>
          <w:b/>
          <w:sz w:val="24"/>
        </w:rPr>
        <w:t>Technologies for further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22935C63" w14:textId="5FE942DB" w:rsidR="00E65E33" w:rsidRDefault="009829D1" w:rsidP="00EE1B0E">
      <w:pPr>
        <w:rPr>
          <w:rFonts w:eastAsia="等线"/>
          <w:lang w:eastAsia="zh-CN"/>
        </w:rPr>
      </w:pPr>
      <w:r>
        <w:rPr>
          <w:rFonts w:eastAsia="等线"/>
          <w:lang w:eastAsia="zh-CN"/>
        </w:rPr>
        <w:t xml:space="preserve">In RAN </w:t>
      </w:r>
      <w:r>
        <w:rPr>
          <w:rFonts w:eastAsia="等线" w:hint="eastAsia"/>
          <w:lang w:eastAsia="zh-CN"/>
        </w:rPr>
        <w:t>Plenary</w:t>
      </w:r>
      <w:r>
        <w:rPr>
          <w:rFonts w:eastAsia="等线"/>
          <w:lang w:eastAsia="zh-CN"/>
        </w:rPr>
        <w:t xml:space="preserve"> </w:t>
      </w:r>
      <w:r>
        <w:rPr>
          <w:rFonts w:eastAsia="等线" w:hint="eastAsia"/>
          <w:lang w:eastAsia="zh-CN"/>
        </w:rPr>
        <w:t>#9</w:t>
      </w:r>
      <w:r w:rsidR="00E65E33">
        <w:rPr>
          <w:rFonts w:eastAsia="等线"/>
          <w:lang w:eastAsia="zh-CN"/>
        </w:rPr>
        <w:t>7</w:t>
      </w:r>
      <w:r>
        <w:rPr>
          <w:rFonts w:eastAsia="等线" w:hint="eastAsia"/>
          <w:lang w:eastAsia="zh-CN"/>
        </w:rPr>
        <w:t>e,</w:t>
      </w:r>
      <w:r>
        <w:rPr>
          <w:rFonts w:eastAsia="等线"/>
          <w:lang w:eastAsia="zh-CN"/>
        </w:rPr>
        <w:t xml:space="preserve"> the </w:t>
      </w:r>
      <w:r w:rsidR="00E65E33">
        <w:rPr>
          <w:rFonts w:eastAsia="等线"/>
          <w:lang w:eastAsia="zh-CN"/>
        </w:rPr>
        <w:t xml:space="preserve">work item on </w:t>
      </w:r>
      <w:r>
        <w:rPr>
          <w:rFonts w:eastAsia="等线"/>
          <w:lang w:eastAsia="zh-CN"/>
        </w:rPr>
        <w:t xml:space="preserve">further enhanced RedCap NR devices </w:t>
      </w:r>
      <w:r w:rsidR="001D7228">
        <w:rPr>
          <w:rFonts w:eastAsia="等线"/>
          <w:lang w:eastAsia="zh-CN"/>
        </w:rPr>
        <w:t>wa</w:t>
      </w:r>
      <w:r>
        <w:rPr>
          <w:rFonts w:eastAsia="等线"/>
          <w:lang w:eastAsia="zh-CN"/>
        </w:rPr>
        <w:t xml:space="preserve">s approved. </w:t>
      </w:r>
      <w:r w:rsidR="00E65E33" w:rsidRPr="00E65E33">
        <w:rPr>
          <w:rFonts w:eastAsia="等线"/>
          <w:lang w:eastAsia="zh-CN"/>
        </w:rPr>
        <w:t xml:space="preserve">To further expand the market for RedCap use cases with relatively low cost, low energy consumption, and low data rate requirements, e.g., industrial wireless sensor network use cases, some further complexity reduction enhancements </w:t>
      </w:r>
      <w:r w:rsidR="00D879D5">
        <w:rPr>
          <w:rFonts w:eastAsia="等线"/>
          <w:lang w:eastAsia="zh-CN"/>
        </w:rPr>
        <w:t>are now concluded for Rel-18</w:t>
      </w:r>
      <w:r w:rsidR="00C417F5">
        <w:rPr>
          <w:rFonts w:eastAsia="等线"/>
          <w:lang w:eastAsia="zh-CN"/>
        </w:rPr>
        <w:t xml:space="preserve"> Re</w:t>
      </w:r>
      <w:r w:rsidR="00C417F5">
        <w:rPr>
          <w:rFonts w:eastAsia="等线" w:hint="eastAsia"/>
          <w:lang w:eastAsia="zh-CN"/>
        </w:rPr>
        <w:t>dCap</w:t>
      </w:r>
      <w:r w:rsidR="00E65E33" w:rsidRPr="00E65E33">
        <w:rPr>
          <w:rFonts w:eastAsia="等线"/>
          <w:lang w:eastAsia="zh-CN"/>
        </w:rPr>
        <w:t>.</w:t>
      </w:r>
    </w:p>
    <w:p w14:paraId="3627364D" w14:textId="12B6B8F5" w:rsidR="00640F7A" w:rsidRDefault="00E65E33" w:rsidP="00EE1B0E">
      <w:pPr>
        <w:rPr>
          <w:rFonts w:eastAsia="等线"/>
          <w:lang w:eastAsia="zh-CN"/>
        </w:rPr>
      </w:pPr>
      <w:r>
        <w:rPr>
          <w:rFonts w:eastAsia="等线"/>
          <w:lang w:eastAsia="zh-CN"/>
        </w:rPr>
        <w:t xml:space="preserve">After the study, </w:t>
      </w:r>
      <w:r>
        <w:rPr>
          <w:rFonts w:eastAsia="等线" w:hint="eastAsia"/>
          <w:lang w:eastAsia="zh-CN"/>
        </w:rPr>
        <w:t>RAN1</w:t>
      </w:r>
      <w:r>
        <w:rPr>
          <w:rFonts w:eastAsia="等线"/>
          <w:lang w:eastAsia="zh-CN"/>
        </w:rPr>
        <w:t xml:space="preserve"> </w:t>
      </w:r>
      <w:r>
        <w:rPr>
          <w:rFonts w:eastAsia="等线" w:hint="eastAsia"/>
          <w:lang w:eastAsia="zh-CN"/>
        </w:rPr>
        <w:t>identify</w:t>
      </w:r>
      <w:r>
        <w:rPr>
          <w:rFonts w:eastAsia="等线"/>
          <w:lang w:eastAsia="zh-CN"/>
        </w:rPr>
        <w:t xml:space="preserve"> the scope for that enhanced RedCap by justified the complexity, specification, and other impact </w:t>
      </w:r>
      <w:r w:rsidR="009C5409">
        <w:rPr>
          <w:rFonts w:eastAsia="等线"/>
          <w:lang w:eastAsia="zh-CN"/>
        </w:rPr>
        <w:t xml:space="preserve">of </w:t>
      </w:r>
      <w:r>
        <w:rPr>
          <w:rFonts w:eastAsia="等线"/>
          <w:lang w:eastAsia="zh-CN"/>
        </w:rPr>
        <w:t>those candidate solutions.</w:t>
      </w:r>
    </w:p>
    <w:p w14:paraId="2304800B" w14:textId="77777777" w:rsidR="00E65E33" w:rsidRPr="00E65E33" w:rsidRDefault="00E65E33" w:rsidP="00E65E33">
      <w:pPr>
        <w:numPr>
          <w:ilvl w:val="0"/>
          <w:numId w:val="20"/>
        </w:numPr>
        <w:overflowPunct w:val="0"/>
        <w:autoSpaceDE w:val="0"/>
        <w:autoSpaceDN w:val="0"/>
        <w:adjustRightInd w:val="0"/>
        <w:spacing w:after="180" w:afterAutospacing="0"/>
        <w:ind w:right="-99"/>
        <w:jc w:val="left"/>
        <w:textAlignment w:val="baseline"/>
        <w:rPr>
          <w:rFonts w:ascii="Times New Roman" w:eastAsia="宋体" w:hAnsi="Times New Roman"/>
          <w:szCs w:val="20"/>
          <w:lang w:val="en-GB" w:eastAsia="ja-JP"/>
        </w:rPr>
      </w:pPr>
      <w:r w:rsidRPr="00E65E33">
        <w:rPr>
          <w:rFonts w:ascii="Times New Roman" w:eastAsia="宋体" w:hAnsi="Times New Roman"/>
          <w:szCs w:val="20"/>
          <w:lang w:val="en-GB" w:eastAsia="ja-JP"/>
        </w:rPr>
        <w:t>Further reduced UE complexity in FR1 [RAN1, RAN2, RAN4]</w:t>
      </w:r>
    </w:p>
    <w:p w14:paraId="7EB0E89B" w14:textId="77777777" w:rsidR="00E65E33" w:rsidRPr="00E65E33" w:rsidRDefault="00E65E33" w:rsidP="00E65E33">
      <w:pPr>
        <w:numPr>
          <w:ilvl w:val="1"/>
          <w:numId w:val="19"/>
        </w:numPr>
        <w:overflowPunct w:val="0"/>
        <w:autoSpaceDE w:val="0"/>
        <w:autoSpaceDN w:val="0"/>
        <w:adjustRightInd w:val="0"/>
        <w:spacing w:after="180" w:afterAutospacing="0"/>
        <w:jc w:val="left"/>
        <w:textAlignment w:val="baseline"/>
        <w:rPr>
          <w:rFonts w:ascii="Times New Roman" w:eastAsia="宋体" w:hAnsi="Times New Roman"/>
          <w:szCs w:val="20"/>
          <w:lang w:eastAsia="en-GB"/>
        </w:rPr>
      </w:pPr>
      <w:r w:rsidRPr="00E65E33">
        <w:rPr>
          <w:rFonts w:ascii="Times New Roman" w:eastAsia="宋体" w:hAnsi="Times New Roman"/>
          <w:szCs w:val="20"/>
          <w:lang w:eastAsia="en-GB"/>
        </w:rPr>
        <w:t>UE BB bandwidth reduction</w:t>
      </w:r>
    </w:p>
    <w:p w14:paraId="63D86E81" w14:textId="77777777" w:rsidR="00E65E33" w:rsidRPr="00E65E33" w:rsidRDefault="00E65E33" w:rsidP="00E65E33">
      <w:pPr>
        <w:numPr>
          <w:ilvl w:val="2"/>
          <w:numId w:val="19"/>
        </w:numPr>
        <w:overflowPunct w:val="0"/>
        <w:autoSpaceDE w:val="0"/>
        <w:autoSpaceDN w:val="0"/>
        <w:adjustRightInd w:val="0"/>
        <w:spacing w:after="180" w:afterAutospacing="0"/>
        <w:jc w:val="left"/>
        <w:textAlignment w:val="baseline"/>
        <w:rPr>
          <w:rFonts w:ascii="Times New Roman" w:eastAsia="宋体" w:hAnsi="Times New Roman"/>
          <w:szCs w:val="20"/>
          <w:lang w:eastAsia="en-GB"/>
        </w:rPr>
      </w:pPr>
      <w:r w:rsidRPr="00E65E33">
        <w:rPr>
          <w:rFonts w:ascii="Times New Roman" w:eastAsia="宋体" w:hAnsi="Times New Roman"/>
          <w:szCs w:val="20"/>
          <w:lang w:eastAsia="en-GB"/>
        </w:rPr>
        <w:t>5 MHz BB bandwidth only for PDSCH (for both unicast and broadcast) and PUSCH, with 20 MHz RF bandwidth for UL and DL</w:t>
      </w:r>
    </w:p>
    <w:p w14:paraId="01142FCC" w14:textId="77777777" w:rsidR="00E65E33" w:rsidRPr="00E65E33" w:rsidRDefault="00E65E33" w:rsidP="00E65E33">
      <w:pPr>
        <w:numPr>
          <w:ilvl w:val="2"/>
          <w:numId w:val="19"/>
        </w:numPr>
        <w:overflowPunct w:val="0"/>
        <w:autoSpaceDE w:val="0"/>
        <w:autoSpaceDN w:val="0"/>
        <w:adjustRightInd w:val="0"/>
        <w:spacing w:after="180" w:afterAutospacing="0"/>
        <w:jc w:val="left"/>
        <w:textAlignment w:val="baseline"/>
        <w:rPr>
          <w:rFonts w:ascii="Times New Roman" w:eastAsia="宋体" w:hAnsi="Times New Roman"/>
          <w:szCs w:val="20"/>
          <w:lang w:eastAsia="en-GB"/>
        </w:rPr>
      </w:pPr>
      <w:r w:rsidRPr="00E65E33">
        <w:rPr>
          <w:rFonts w:ascii="Times New Roman" w:eastAsia="宋体" w:hAnsi="Times New Roman"/>
          <w:szCs w:val="20"/>
          <w:lang w:eastAsia="en-GB"/>
        </w:rPr>
        <w:t>The other physical channels and signals are still allowed to use a BWP up to the 20 MHz maximum UE RF+BB bandwidth.</w:t>
      </w:r>
    </w:p>
    <w:p w14:paraId="7E7A4BEB" w14:textId="77777777" w:rsidR="00E65E33" w:rsidRPr="00E65E33" w:rsidRDefault="00E65E33" w:rsidP="00E65E33">
      <w:pPr>
        <w:numPr>
          <w:ilvl w:val="1"/>
          <w:numId w:val="19"/>
        </w:numPr>
        <w:overflowPunct w:val="0"/>
        <w:autoSpaceDE w:val="0"/>
        <w:autoSpaceDN w:val="0"/>
        <w:adjustRightInd w:val="0"/>
        <w:spacing w:after="180" w:afterAutospacing="0"/>
        <w:ind w:right="-99"/>
        <w:jc w:val="left"/>
        <w:textAlignment w:val="baseline"/>
        <w:rPr>
          <w:rFonts w:ascii="Times New Roman" w:eastAsia="宋体" w:hAnsi="Times New Roman"/>
          <w:szCs w:val="20"/>
          <w:lang w:val="en-GB" w:eastAsia="ja-JP"/>
        </w:rPr>
      </w:pPr>
      <w:r w:rsidRPr="00E65E33">
        <w:rPr>
          <w:rFonts w:ascii="Times New Roman" w:eastAsia="宋体" w:hAnsi="Times New Roman"/>
          <w:szCs w:val="20"/>
          <w:lang w:val="en-GB" w:eastAsia="ja-JP"/>
        </w:rPr>
        <w:t>UE peak data rate reduction</w:t>
      </w:r>
    </w:p>
    <w:p w14:paraId="34BF7A06" w14:textId="77777777" w:rsidR="00E65E33" w:rsidRPr="00E65E33" w:rsidRDefault="00E65E33" w:rsidP="00E65E33">
      <w:pPr>
        <w:numPr>
          <w:ilvl w:val="2"/>
          <w:numId w:val="19"/>
        </w:numPr>
        <w:overflowPunct w:val="0"/>
        <w:autoSpaceDE w:val="0"/>
        <w:autoSpaceDN w:val="0"/>
        <w:adjustRightInd w:val="0"/>
        <w:spacing w:after="180" w:afterAutospacing="0"/>
        <w:jc w:val="left"/>
        <w:textAlignment w:val="baseline"/>
        <w:rPr>
          <w:rFonts w:ascii="Times New Roman" w:eastAsia="宋体" w:hAnsi="Times New Roman"/>
          <w:szCs w:val="20"/>
          <w:lang w:eastAsia="en-GB"/>
        </w:rPr>
      </w:pPr>
      <w:r w:rsidRPr="00E65E33">
        <w:rPr>
          <w:rFonts w:ascii="Times New Roman" w:eastAsia="宋体" w:hAnsi="Times New Roman"/>
          <w:szCs w:val="20"/>
          <w:lang w:eastAsia="en-GB"/>
        </w:rPr>
        <w:t>Relaxation of the constraint (</w:t>
      </w:r>
      <w:r w:rsidRPr="00E65E33">
        <w:rPr>
          <w:rFonts w:ascii="Times New Roman" w:eastAsia="宋体" w:hAnsi="Times New Roman"/>
          <w:i/>
          <w:iCs/>
          <w:szCs w:val="20"/>
          <w:lang w:eastAsia="en-GB"/>
        </w:rPr>
        <w:t>v</w:t>
      </w:r>
      <w:r w:rsidRPr="00E65E33">
        <w:rPr>
          <w:rFonts w:ascii="Times New Roman" w:eastAsia="宋体" w:hAnsi="Times New Roman"/>
          <w:i/>
          <w:iCs/>
          <w:szCs w:val="20"/>
          <w:vertAlign w:val="subscript"/>
          <w:lang w:eastAsia="en-GB"/>
        </w:rPr>
        <w:t>Layers</w:t>
      </w:r>
      <w:r w:rsidRPr="00E65E33">
        <w:rPr>
          <w:rFonts w:ascii="Times New Roman" w:eastAsia="宋体" w:hAnsi="Times New Roman"/>
          <w:szCs w:val="20"/>
          <w:lang w:eastAsia="en-GB"/>
        </w:rPr>
        <w:t>·</w:t>
      </w:r>
      <w:r w:rsidRPr="00E65E33">
        <w:rPr>
          <w:rFonts w:ascii="Times New Roman" w:eastAsia="宋体" w:hAnsi="Times New Roman"/>
          <w:i/>
          <w:iCs/>
          <w:szCs w:val="20"/>
          <w:lang w:eastAsia="en-GB"/>
        </w:rPr>
        <w:t>Q</w:t>
      </w:r>
      <w:r w:rsidRPr="00E65E33">
        <w:rPr>
          <w:rFonts w:ascii="Times New Roman" w:eastAsia="宋体" w:hAnsi="Times New Roman"/>
          <w:i/>
          <w:iCs/>
          <w:szCs w:val="20"/>
          <w:vertAlign w:val="subscript"/>
          <w:lang w:eastAsia="en-GB"/>
        </w:rPr>
        <w:t>m</w:t>
      </w:r>
      <w:r w:rsidRPr="00E65E33">
        <w:rPr>
          <w:rFonts w:ascii="Times New Roman" w:eastAsia="宋体" w:hAnsi="Times New Roman"/>
          <w:szCs w:val="20"/>
          <w:lang w:eastAsia="en-GB"/>
        </w:rPr>
        <w:t>·</w:t>
      </w:r>
      <w:r w:rsidRPr="00E65E33">
        <w:rPr>
          <w:rFonts w:ascii="Times New Roman" w:eastAsia="宋体" w:hAnsi="Times New Roman"/>
          <w:i/>
          <w:iCs/>
          <w:szCs w:val="20"/>
          <w:lang w:eastAsia="en-GB"/>
        </w:rPr>
        <w:t>f</w:t>
      </w:r>
      <w:r w:rsidRPr="00E65E33">
        <w:rPr>
          <w:rFonts w:ascii="Times New Roman" w:eastAsia="宋体" w:hAnsi="Times New Roman"/>
          <w:szCs w:val="20"/>
          <w:lang w:eastAsia="en-GB"/>
        </w:rPr>
        <w:t xml:space="preserve"> ≥ 4) for peak data rate reduction</w:t>
      </w:r>
    </w:p>
    <w:p w14:paraId="30B8FCBE" w14:textId="77777777" w:rsidR="00E65E33" w:rsidRPr="00E65E33" w:rsidRDefault="00E65E33" w:rsidP="00E65E33">
      <w:pPr>
        <w:numPr>
          <w:ilvl w:val="2"/>
          <w:numId w:val="19"/>
        </w:numPr>
        <w:overflowPunct w:val="0"/>
        <w:autoSpaceDE w:val="0"/>
        <w:autoSpaceDN w:val="0"/>
        <w:adjustRightInd w:val="0"/>
        <w:spacing w:after="180" w:afterAutospacing="0"/>
        <w:jc w:val="left"/>
        <w:textAlignment w:val="baseline"/>
        <w:rPr>
          <w:rFonts w:ascii="Times New Roman" w:eastAsia="宋体" w:hAnsi="Times New Roman"/>
          <w:szCs w:val="20"/>
          <w:lang w:eastAsia="en-GB"/>
        </w:rPr>
      </w:pPr>
      <w:r w:rsidRPr="00E65E33">
        <w:rPr>
          <w:rFonts w:ascii="Times New Roman" w:eastAsia="宋体" w:hAnsi="Times New Roman"/>
          <w:szCs w:val="20"/>
          <w:lang w:eastAsia="en-GB"/>
        </w:rPr>
        <w:t>The relaxed constraint is, e.g., 1 (instead of 4).</w:t>
      </w:r>
    </w:p>
    <w:p w14:paraId="43C4C038" w14:textId="77777777" w:rsidR="00E65E33" w:rsidRPr="00E65E33" w:rsidRDefault="00E65E33" w:rsidP="00E65E33">
      <w:pPr>
        <w:numPr>
          <w:ilvl w:val="2"/>
          <w:numId w:val="19"/>
        </w:numPr>
        <w:overflowPunct w:val="0"/>
        <w:autoSpaceDE w:val="0"/>
        <w:autoSpaceDN w:val="0"/>
        <w:adjustRightInd w:val="0"/>
        <w:spacing w:after="180" w:afterAutospacing="0"/>
        <w:jc w:val="left"/>
        <w:textAlignment w:val="baseline"/>
        <w:rPr>
          <w:rFonts w:ascii="Times New Roman" w:eastAsia="宋体" w:hAnsi="Times New Roman"/>
          <w:szCs w:val="20"/>
          <w:lang w:eastAsia="en-GB"/>
        </w:rPr>
      </w:pPr>
      <w:r w:rsidRPr="00E65E33">
        <w:rPr>
          <w:rFonts w:ascii="Times New Roman" w:eastAsia="宋体" w:hAnsi="Times New Roman"/>
          <w:szCs w:val="20"/>
          <w:lang w:eastAsia="en-GB"/>
        </w:rPr>
        <w:t>The parameters (</w:t>
      </w:r>
      <w:r w:rsidRPr="00E65E33">
        <w:rPr>
          <w:rFonts w:ascii="Times New Roman" w:eastAsia="宋体" w:hAnsi="Times New Roman"/>
          <w:i/>
          <w:iCs/>
          <w:szCs w:val="20"/>
          <w:lang w:eastAsia="en-GB"/>
        </w:rPr>
        <w:t>v</w:t>
      </w:r>
      <w:r w:rsidRPr="00E65E33">
        <w:rPr>
          <w:rFonts w:ascii="Times New Roman" w:eastAsia="宋体" w:hAnsi="Times New Roman"/>
          <w:i/>
          <w:iCs/>
          <w:szCs w:val="20"/>
          <w:vertAlign w:val="subscript"/>
          <w:lang w:eastAsia="en-GB"/>
        </w:rPr>
        <w:t>Layers</w:t>
      </w:r>
      <w:r w:rsidRPr="00E65E33">
        <w:rPr>
          <w:rFonts w:ascii="Times New Roman" w:eastAsia="宋体" w:hAnsi="Times New Roman"/>
          <w:szCs w:val="20"/>
          <w:lang w:eastAsia="en-GB"/>
        </w:rPr>
        <w:t xml:space="preserve">, </w:t>
      </w:r>
      <w:r w:rsidRPr="00E65E33">
        <w:rPr>
          <w:rFonts w:ascii="Times New Roman" w:eastAsia="宋体" w:hAnsi="Times New Roman"/>
          <w:i/>
          <w:iCs/>
          <w:szCs w:val="20"/>
          <w:lang w:eastAsia="en-GB"/>
        </w:rPr>
        <w:t>Q</w:t>
      </w:r>
      <w:r w:rsidRPr="00E65E33">
        <w:rPr>
          <w:rFonts w:ascii="Times New Roman" w:eastAsia="宋体" w:hAnsi="Times New Roman"/>
          <w:i/>
          <w:iCs/>
          <w:szCs w:val="20"/>
          <w:vertAlign w:val="subscript"/>
          <w:lang w:eastAsia="en-GB"/>
        </w:rPr>
        <w:t>m</w:t>
      </w:r>
      <w:r w:rsidRPr="00E65E33">
        <w:rPr>
          <w:rFonts w:ascii="Times New Roman" w:eastAsia="宋体" w:hAnsi="Times New Roman"/>
          <w:szCs w:val="20"/>
          <w:lang w:eastAsia="en-GB"/>
        </w:rPr>
        <w:t xml:space="preserve">, </w:t>
      </w:r>
      <w:r w:rsidRPr="00E65E33">
        <w:rPr>
          <w:rFonts w:ascii="Times New Roman" w:eastAsia="宋体" w:hAnsi="Times New Roman"/>
          <w:i/>
          <w:iCs/>
          <w:szCs w:val="20"/>
          <w:lang w:eastAsia="en-GB"/>
        </w:rPr>
        <w:t>f</w:t>
      </w:r>
      <w:r w:rsidRPr="00E65E33">
        <w:rPr>
          <w:rFonts w:ascii="Times New Roman" w:eastAsia="宋体" w:hAnsi="Times New Roman"/>
          <w:szCs w:val="20"/>
          <w:lang w:eastAsia="en-GB"/>
        </w:rPr>
        <w:t>) can be as in Rel-17 RedCap.</w:t>
      </w:r>
    </w:p>
    <w:p w14:paraId="6E0EEAD9" w14:textId="77777777" w:rsidR="00E65E33" w:rsidRPr="00E65E33" w:rsidRDefault="00E65E33" w:rsidP="00E65E33">
      <w:pPr>
        <w:numPr>
          <w:ilvl w:val="1"/>
          <w:numId w:val="19"/>
        </w:numPr>
        <w:overflowPunct w:val="0"/>
        <w:autoSpaceDE w:val="0"/>
        <w:autoSpaceDN w:val="0"/>
        <w:adjustRightInd w:val="0"/>
        <w:spacing w:after="180" w:afterAutospacing="0"/>
        <w:jc w:val="left"/>
        <w:textAlignment w:val="baseline"/>
        <w:rPr>
          <w:rFonts w:ascii="Times New Roman" w:eastAsia="宋体" w:hAnsi="Times New Roman"/>
          <w:szCs w:val="20"/>
          <w:lang w:eastAsia="ja-JP"/>
        </w:rPr>
      </w:pPr>
      <w:r w:rsidRPr="00E65E33">
        <w:rPr>
          <w:rFonts w:ascii="Times New Roman" w:eastAsia="宋体" w:hAnsi="Times New Roman"/>
          <w:szCs w:val="20"/>
          <w:lang w:eastAsia="ja-JP"/>
        </w:rPr>
        <w:t>Both 15 kHz SCS and 30 kHz SCS are supported.</w:t>
      </w:r>
    </w:p>
    <w:p w14:paraId="4D54841D" w14:textId="77777777" w:rsidR="00E65E33" w:rsidRPr="00E65E33" w:rsidRDefault="00E65E33" w:rsidP="00E65E33">
      <w:pPr>
        <w:numPr>
          <w:ilvl w:val="1"/>
          <w:numId w:val="19"/>
        </w:numPr>
        <w:overflowPunct w:val="0"/>
        <w:autoSpaceDE w:val="0"/>
        <w:autoSpaceDN w:val="0"/>
        <w:adjustRightInd w:val="0"/>
        <w:spacing w:after="180" w:afterAutospacing="0"/>
        <w:jc w:val="left"/>
        <w:textAlignment w:val="baseline"/>
        <w:rPr>
          <w:rFonts w:ascii="Times New Roman" w:eastAsia="宋体" w:hAnsi="Times New Roman"/>
          <w:szCs w:val="20"/>
          <w:lang w:eastAsia="ja-JP"/>
        </w:rPr>
      </w:pPr>
      <w:r w:rsidRPr="00E65E33">
        <w:rPr>
          <w:rFonts w:ascii="Times New Roman" w:eastAsia="宋体" w:hAnsi="Times New Roman"/>
          <w:szCs w:val="20"/>
          <w:lang w:eastAsia="ja-JP"/>
        </w:rPr>
        <w:t>Aim to define at most one Rel-18 RedCap UE type for further UE complexity reduction.</w:t>
      </w:r>
    </w:p>
    <w:p w14:paraId="3E5D1AFC" w14:textId="77777777" w:rsidR="00E65E33" w:rsidRPr="00E65E33" w:rsidRDefault="00E65E33" w:rsidP="00E65E33">
      <w:pPr>
        <w:numPr>
          <w:ilvl w:val="1"/>
          <w:numId w:val="19"/>
        </w:numPr>
        <w:overflowPunct w:val="0"/>
        <w:autoSpaceDE w:val="0"/>
        <w:autoSpaceDN w:val="0"/>
        <w:adjustRightInd w:val="0"/>
        <w:spacing w:after="180" w:afterAutospacing="0"/>
        <w:ind w:right="-99"/>
        <w:jc w:val="left"/>
        <w:textAlignment w:val="baseline"/>
        <w:rPr>
          <w:rFonts w:ascii="Times New Roman" w:eastAsia="宋体" w:hAnsi="Times New Roman"/>
          <w:szCs w:val="20"/>
          <w:lang w:val="en-GB" w:eastAsia="ja-JP"/>
        </w:rPr>
      </w:pPr>
      <w:r w:rsidRPr="00E65E33">
        <w:rPr>
          <w:rFonts w:ascii="Times New Roman" w:eastAsia="宋体" w:hAnsi="Times New Roman"/>
          <w:szCs w:val="20"/>
          <w:lang w:val="en-GB" w:eastAsia="ja-JP"/>
        </w:rPr>
        <w:t>The existing UE capability framework is used, and changes to capability signalling are specified only if necessary. By default, all UE capabilities applicable to a Rel-17 RedCap UE are applicable unless otherwise specified.</w:t>
      </w:r>
    </w:p>
    <w:p w14:paraId="3219BF5C" w14:textId="2CE0193B" w:rsidR="009829D1" w:rsidRPr="00CB02C0" w:rsidRDefault="00E65E33" w:rsidP="0045567B">
      <w:r>
        <w:t xml:space="preserve">To </w:t>
      </w:r>
      <w:r w:rsidR="00771589">
        <w:t>realize</w:t>
      </w:r>
      <w:r>
        <w:t xml:space="preserve"> the work of </w:t>
      </w:r>
      <w:r w:rsidR="00771589">
        <w:t xml:space="preserve">further RedCap enhancement, </w:t>
      </w:r>
      <w:r w:rsidR="009829D1">
        <w:t xml:space="preserve">we </w:t>
      </w:r>
      <w:r w:rsidR="007A1F81">
        <w:t xml:space="preserve">further </w:t>
      </w:r>
      <w:r w:rsidR="007F2F4E">
        <w:t>analyze</w:t>
      </w:r>
      <w:r w:rsidR="001D7228">
        <w:t xml:space="preserve"> </w:t>
      </w:r>
      <w:r w:rsidR="00771589">
        <w:t>the solutions</w:t>
      </w:r>
      <w:r w:rsidR="006F5ED1">
        <w:t xml:space="preserve"> in the </w:t>
      </w:r>
      <w:r w:rsidR="00C417F5">
        <w:t xml:space="preserve">above </w:t>
      </w:r>
      <w:r w:rsidR="006F5ED1">
        <w:t>scope</w:t>
      </w:r>
      <w:r w:rsidR="00771589">
        <w:t>.</w:t>
      </w:r>
      <w:r w:rsidR="006F5ED1">
        <w:t xml:space="preserve"> We discuss the details of RedCap enhancement and provide a more consolidated solution.</w:t>
      </w:r>
    </w:p>
    <w:p w14:paraId="2693F139" w14:textId="6D093C76" w:rsidR="00484D0F" w:rsidRDefault="007E7C11" w:rsidP="007E7C11">
      <w:pPr>
        <w:pStyle w:val="1"/>
      </w:pPr>
      <w:bookmarkStart w:id="2" w:name="_Hlk115464106"/>
      <w:r w:rsidRPr="007E7C11">
        <w:t>UE BB bandwidth reduction</w:t>
      </w:r>
    </w:p>
    <w:bookmarkEnd w:id="2"/>
    <w:p w14:paraId="36418761" w14:textId="1C2B9EFA" w:rsidR="00022310" w:rsidRDefault="006F5ED1" w:rsidP="00255942">
      <w:pPr>
        <w:rPr>
          <w:lang w:eastAsia="x-none"/>
        </w:rPr>
      </w:pPr>
      <w:r>
        <w:rPr>
          <w:lang w:eastAsia="x-none"/>
        </w:rPr>
        <w:t xml:space="preserve">As concluded in the </w:t>
      </w:r>
      <w:r w:rsidR="000A652E">
        <w:rPr>
          <w:lang w:eastAsia="x-none"/>
        </w:rPr>
        <w:t xml:space="preserve">WID, </w:t>
      </w:r>
      <w:r w:rsidR="007E7C11">
        <w:rPr>
          <w:lang w:eastAsia="x-none"/>
        </w:rPr>
        <w:t>The UE</w:t>
      </w:r>
      <w:r w:rsidR="00022310">
        <w:rPr>
          <w:lang w:eastAsia="x-none"/>
        </w:rPr>
        <w:t>’s 5MHz</w:t>
      </w:r>
      <w:r w:rsidR="007E7C11">
        <w:rPr>
          <w:lang w:eastAsia="x-none"/>
        </w:rPr>
        <w:t xml:space="preserve"> bandwidth </w:t>
      </w:r>
      <w:r w:rsidR="009C5409">
        <w:rPr>
          <w:lang w:eastAsia="x-none"/>
        </w:rPr>
        <w:t>restriction is only on baseband part</w:t>
      </w:r>
      <w:r w:rsidR="00022310">
        <w:rPr>
          <w:lang w:eastAsia="x-none"/>
        </w:rPr>
        <w:t xml:space="preserve"> when processing data</w:t>
      </w:r>
      <w:r w:rsidR="00E7621C">
        <w:rPr>
          <w:lang w:eastAsia="x-none"/>
        </w:rPr>
        <w:t xml:space="preserve"> part</w:t>
      </w:r>
      <w:r w:rsidR="00022310">
        <w:rPr>
          <w:lang w:eastAsia="x-none"/>
        </w:rPr>
        <w:t>.</w:t>
      </w:r>
      <w:r w:rsidR="00E7621C">
        <w:rPr>
          <w:lang w:eastAsia="x-none"/>
        </w:rPr>
        <w:t xml:space="preserve"> </w:t>
      </w:r>
      <w:r w:rsidR="00255942">
        <w:rPr>
          <w:lang w:eastAsia="x-none"/>
        </w:rPr>
        <w:t>This</w:t>
      </w:r>
      <w:r w:rsidR="00022310" w:rsidRPr="00022310">
        <w:rPr>
          <w:lang w:eastAsia="x-none"/>
        </w:rPr>
        <w:t xml:space="preserve"> may have different degrees of impacts on the post-FFT data buffering depending </w:t>
      </w:r>
      <w:r w:rsidR="00255942">
        <w:rPr>
          <w:lang w:eastAsia="x-none"/>
        </w:rPr>
        <w:t xml:space="preserve">implementation. Also, this may require </w:t>
      </w:r>
      <w:r w:rsidR="00022310" w:rsidRPr="00022310">
        <w:rPr>
          <w:lang w:eastAsia="x-none"/>
        </w:rPr>
        <w:t>cross-slot scheduling</w:t>
      </w:r>
      <w:r w:rsidR="00255942">
        <w:rPr>
          <w:lang w:eastAsia="x-none"/>
        </w:rPr>
        <w:t xml:space="preserve"> are configured together </w:t>
      </w:r>
      <w:r w:rsidR="002A2D17">
        <w:rPr>
          <w:lang w:eastAsia="x-none"/>
        </w:rPr>
        <w:t xml:space="preserve">with the RedCap UE. Otherwise, the UE complexity will not be reduced for post-FFT. </w:t>
      </w:r>
      <w:r w:rsidR="00022310" w:rsidRPr="00022310">
        <w:rPr>
          <w:lang w:eastAsia="x-none"/>
        </w:rPr>
        <w:t>RF retuning</w:t>
      </w:r>
      <w:r w:rsidR="002A2D17">
        <w:rPr>
          <w:lang w:eastAsia="x-none"/>
        </w:rPr>
        <w:t xml:space="preserve"> could be another factor to consider, however this is also depending on implementation.</w:t>
      </w:r>
    </w:p>
    <w:p w14:paraId="4CCE2447" w14:textId="6888D694" w:rsidR="009E256B" w:rsidRDefault="009E256B" w:rsidP="001043DF">
      <w:pPr>
        <w:rPr>
          <w:lang w:eastAsia="x-none"/>
        </w:rPr>
      </w:pPr>
      <w:r>
        <w:rPr>
          <w:lang w:eastAsia="x-none"/>
        </w:rPr>
        <w:t xml:space="preserve">Regarding this complexity saving and dependence on other factors, the RedCap UE may have the maximum benefit to introduce some special combination of UE capability. One example could be UE can only support narrow band data and cross-slot scheduling. If UE should also self-scheduling, the UE must process the 20MHz bandwidth in most of the slot. And then the post-FFT cost saving would be disappeared. However, to minimize the UE capability and due to the small gain of that part, we prefer to not define the special combination. </w:t>
      </w:r>
    </w:p>
    <w:bookmarkStart w:id="3" w:name="_MON_1712586324"/>
    <w:bookmarkEnd w:id="3"/>
    <w:p w14:paraId="7E4D8D02" w14:textId="4CE10352" w:rsidR="00032B01" w:rsidRPr="00740A19" w:rsidRDefault="009E256B" w:rsidP="00032B01">
      <w:pPr>
        <w:jc w:val="center"/>
        <w:rPr>
          <w:lang w:eastAsia="x-none"/>
        </w:rPr>
      </w:pPr>
      <w:r w:rsidRPr="00740A19">
        <w:object w:dxaOrig="10940" w:dyaOrig="4570" w14:anchorId="0FC11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35pt;height:205.5pt" o:ole="">
            <v:imagedata r:id="rId8" o:title=""/>
          </v:shape>
          <o:OLEObject Type="Embed" ProgID="Visio.Drawing.11" ShapeID="_x0000_i1025" DrawAspect="Content" ObjectID="_1726088788" r:id="rId9"/>
        </w:object>
      </w:r>
    </w:p>
    <w:p w14:paraId="0027754D" w14:textId="6E8436AA" w:rsidR="00032B01" w:rsidRPr="00740A19" w:rsidRDefault="00032B01" w:rsidP="00032B01">
      <w:pPr>
        <w:jc w:val="center"/>
        <w:rPr>
          <w:b/>
          <w:lang w:eastAsia="x-none"/>
        </w:rPr>
      </w:pPr>
      <w:r w:rsidRPr="00740A19">
        <w:rPr>
          <w:b/>
          <w:lang w:eastAsia="x-none"/>
        </w:rPr>
        <w:t>Figure</w:t>
      </w:r>
      <w:r w:rsidR="000D6A92">
        <w:rPr>
          <w:b/>
          <w:lang w:eastAsia="x-none"/>
        </w:rPr>
        <w:t>1</w:t>
      </w:r>
      <w:r w:rsidRPr="00740A19">
        <w:rPr>
          <w:b/>
          <w:lang w:eastAsia="x-none"/>
        </w:rPr>
        <w:t xml:space="preserve">. </w:t>
      </w:r>
      <w:r w:rsidR="00C414C1">
        <w:rPr>
          <w:b/>
          <w:lang w:eastAsia="x-none"/>
        </w:rPr>
        <w:t xml:space="preserve">UE </w:t>
      </w:r>
      <w:r w:rsidR="00022310">
        <w:rPr>
          <w:b/>
          <w:lang w:eastAsia="x-none"/>
        </w:rPr>
        <w:t xml:space="preserve">data </w:t>
      </w:r>
      <w:r w:rsidR="000D6A92">
        <w:rPr>
          <w:b/>
          <w:lang w:eastAsia="x-none"/>
        </w:rPr>
        <w:t>operating in 5MHz bandwidth.</w:t>
      </w:r>
    </w:p>
    <w:p w14:paraId="4CAE3647" w14:textId="2BEFE148" w:rsidR="009E256B" w:rsidRDefault="009E256B" w:rsidP="009E256B">
      <w:pPr>
        <w:rPr>
          <w:lang w:eastAsia="x-none"/>
        </w:rPr>
      </w:pPr>
      <w:r>
        <w:rPr>
          <w:lang w:eastAsia="x-none"/>
        </w:rPr>
        <w:t>Then, RAN1 specification can introduce direct restriction of bandwidth in the specification. The specification like UE capability can capture that UE should not be scheduled with wider band width. We think the bandwidth should be defined as number of RBs. However, it should be different to the definition in 38.101, which is listed in the 5.3 as the system bandwidths. We had discussed the issue and the number of PRB should be 12 for 30kHz SCS. That can allow better resource allocation and make it usable for UL data.</w:t>
      </w:r>
    </w:p>
    <w:p w14:paraId="012EF54E" w14:textId="054DDD05" w:rsidR="009E256B" w:rsidRDefault="009E256B" w:rsidP="009E256B">
      <w:pPr>
        <w:jc w:val="center"/>
        <w:rPr>
          <w:lang w:eastAsia="x-none"/>
        </w:rPr>
      </w:pPr>
      <w:r>
        <w:rPr>
          <w:lang w:eastAsia="x-none"/>
        </w:rPr>
        <w:t>Table 1. RB restriction for data</w:t>
      </w:r>
    </w:p>
    <w:tbl>
      <w:tblPr>
        <w:tblpPr w:leftFromText="142" w:rightFromText="142" w:vertAnchor="text" w:tblpXSpec="center" w:tblpY="1"/>
        <w:tblOverlap w:val="never"/>
        <w:tblW w:w="1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6"/>
        <w:gridCol w:w="793"/>
        <w:gridCol w:w="2109"/>
      </w:tblGrid>
      <w:tr w:rsidR="009E256B" w:rsidRPr="009E256B" w14:paraId="4560FC1A" w14:textId="73ED9099" w:rsidTr="009E256B">
        <w:trPr>
          <w:trHeight w:val="531"/>
        </w:trPr>
        <w:tc>
          <w:tcPr>
            <w:tcW w:w="900" w:type="pct"/>
            <w:vMerge w:val="restart"/>
            <w:shd w:val="clear" w:color="auto" w:fill="auto"/>
            <w:tcMar>
              <w:top w:w="15" w:type="dxa"/>
              <w:left w:w="81" w:type="dxa"/>
              <w:bottom w:w="0" w:type="dxa"/>
              <w:right w:w="81" w:type="dxa"/>
            </w:tcMar>
            <w:vAlign w:val="center"/>
            <w:hideMark/>
          </w:tcPr>
          <w:p w14:paraId="09F35E9B"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SCS (kHz)</w:t>
            </w:r>
          </w:p>
        </w:tc>
        <w:tc>
          <w:tcPr>
            <w:tcW w:w="1120" w:type="pct"/>
            <w:shd w:val="clear" w:color="auto" w:fill="auto"/>
            <w:tcMar>
              <w:top w:w="15" w:type="dxa"/>
              <w:left w:w="81" w:type="dxa"/>
              <w:bottom w:w="0" w:type="dxa"/>
              <w:right w:w="81" w:type="dxa"/>
            </w:tcMar>
            <w:vAlign w:val="center"/>
            <w:hideMark/>
          </w:tcPr>
          <w:p w14:paraId="58810E3D"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5 MHz</w:t>
            </w:r>
          </w:p>
        </w:tc>
        <w:tc>
          <w:tcPr>
            <w:tcW w:w="2980" w:type="pct"/>
            <w:vAlign w:val="center"/>
          </w:tcPr>
          <w:p w14:paraId="0F9C557F" w14:textId="60D966E5"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DFT size for UL</w:t>
            </w:r>
          </w:p>
        </w:tc>
      </w:tr>
      <w:tr w:rsidR="009E256B" w:rsidRPr="009E256B" w14:paraId="26195374" w14:textId="2450645F" w:rsidTr="009E256B">
        <w:trPr>
          <w:trHeight w:val="284"/>
        </w:trPr>
        <w:tc>
          <w:tcPr>
            <w:tcW w:w="900" w:type="pct"/>
            <w:vMerge/>
            <w:vAlign w:val="center"/>
            <w:hideMark/>
          </w:tcPr>
          <w:p w14:paraId="34B457CC"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p>
        </w:tc>
        <w:tc>
          <w:tcPr>
            <w:tcW w:w="1120" w:type="pct"/>
            <w:shd w:val="clear" w:color="auto" w:fill="auto"/>
            <w:tcMar>
              <w:top w:w="15" w:type="dxa"/>
              <w:left w:w="81" w:type="dxa"/>
              <w:bottom w:w="0" w:type="dxa"/>
              <w:right w:w="81" w:type="dxa"/>
            </w:tcMar>
            <w:vAlign w:val="center"/>
            <w:hideMark/>
          </w:tcPr>
          <w:p w14:paraId="05990B99"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N</w:t>
            </w:r>
            <w:r w:rsidRPr="009E256B">
              <w:rPr>
                <w:rFonts w:ascii="Arial" w:eastAsia="Times New Roman" w:hAnsi="Arial"/>
                <w:b/>
                <w:sz w:val="18"/>
                <w:szCs w:val="20"/>
                <w:vertAlign w:val="subscript"/>
                <w:lang w:val="en-GB" w:eastAsia="ko-KR"/>
              </w:rPr>
              <w:t>RB</w:t>
            </w:r>
          </w:p>
        </w:tc>
        <w:tc>
          <w:tcPr>
            <w:tcW w:w="2980" w:type="pct"/>
            <w:vAlign w:val="center"/>
          </w:tcPr>
          <w:p w14:paraId="42AAE7AF" w14:textId="0FEF7DD0"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a * b * c  RB</w:t>
            </w:r>
          </w:p>
        </w:tc>
      </w:tr>
      <w:tr w:rsidR="009E256B" w:rsidRPr="009E256B" w14:paraId="2CE0DD87" w14:textId="720B11A8" w:rsidTr="009E256B">
        <w:trPr>
          <w:trHeight w:val="270"/>
        </w:trPr>
        <w:tc>
          <w:tcPr>
            <w:tcW w:w="900" w:type="pct"/>
            <w:shd w:val="clear" w:color="auto" w:fill="auto"/>
            <w:tcMar>
              <w:top w:w="15" w:type="dxa"/>
              <w:left w:w="81" w:type="dxa"/>
              <w:bottom w:w="0" w:type="dxa"/>
              <w:right w:w="81" w:type="dxa"/>
            </w:tcMar>
            <w:vAlign w:val="center"/>
            <w:hideMark/>
          </w:tcPr>
          <w:p w14:paraId="34A347C8"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15</w:t>
            </w:r>
          </w:p>
        </w:tc>
        <w:tc>
          <w:tcPr>
            <w:tcW w:w="1120" w:type="pct"/>
            <w:shd w:val="clear" w:color="auto" w:fill="auto"/>
            <w:tcMar>
              <w:top w:w="15" w:type="dxa"/>
              <w:left w:w="81" w:type="dxa"/>
              <w:bottom w:w="0" w:type="dxa"/>
              <w:right w:w="81" w:type="dxa"/>
            </w:tcMar>
            <w:vAlign w:val="center"/>
            <w:hideMark/>
          </w:tcPr>
          <w:p w14:paraId="770597CC"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25</w:t>
            </w:r>
          </w:p>
        </w:tc>
        <w:tc>
          <w:tcPr>
            <w:tcW w:w="2980" w:type="pct"/>
            <w:vAlign w:val="center"/>
          </w:tcPr>
          <w:p w14:paraId="1FC19DE0" w14:textId="6CCF3BA8"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Pr>
                <w:rFonts w:ascii="Arial" w:eastAsia="Times New Roman" w:hAnsi="Arial"/>
                <w:sz w:val="18"/>
                <w:szCs w:val="20"/>
                <w:lang w:val="en-GB" w:eastAsia="ko-KR"/>
              </w:rPr>
              <w:t>5*5</w:t>
            </w:r>
          </w:p>
        </w:tc>
      </w:tr>
      <w:tr w:rsidR="009E256B" w:rsidRPr="009E256B" w14:paraId="5FE742B8" w14:textId="083B7D69" w:rsidTr="009E256B">
        <w:trPr>
          <w:trHeight w:val="270"/>
        </w:trPr>
        <w:tc>
          <w:tcPr>
            <w:tcW w:w="900" w:type="pct"/>
            <w:shd w:val="clear" w:color="auto" w:fill="auto"/>
            <w:tcMar>
              <w:top w:w="15" w:type="dxa"/>
              <w:left w:w="81" w:type="dxa"/>
              <w:bottom w:w="0" w:type="dxa"/>
              <w:right w:w="81" w:type="dxa"/>
            </w:tcMar>
            <w:vAlign w:val="center"/>
            <w:hideMark/>
          </w:tcPr>
          <w:p w14:paraId="499F5471"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30</w:t>
            </w:r>
          </w:p>
        </w:tc>
        <w:tc>
          <w:tcPr>
            <w:tcW w:w="1120" w:type="pct"/>
            <w:shd w:val="clear" w:color="auto" w:fill="auto"/>
            <w:tcMar>
              <w:top w:w="15" w:type="dxa"/>
              <w:left w:w="81" w:type="dxa"/>
              <w:bottom w:w="0" w:type="dxa"/>
              <w:right w:w="81" w:type="dxa"/>
            </w:tcMar>
            <w:vAlign w:val="center"/>
            <w:hideMark/>
          </w:tcPr>
          <w:p w14:paraId="00774913" w14:textId="32F7F904"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trike/>
                <w:sz w:val="18"/>
                <w:szCs w:val="20"/>
                <w:lang w:val="en-GB" w:eastAsia="ko-KR"/>
              </w:rPr>
            </w:pPr>
            <w:r w:rsidRPr="009E256B">
              <w:rPr>
                <w:rFonts w:ascii="Arial" w:eastAsia="Times New Roman" w:hAnsi="Arial"/>
                <w:strike/>
                <w:sz w:val="18"/>
                <w:szCs w:val="20"/>
                <w:lang w:val="en-GB" w:eastAsia="ko-KR"/>
              </w:rPr>
              <w:t>11</w:t>
            </w:r>
            <w:r w:rsidRPr="009E256B">
              <w:rPr>
                <w:rFonts w:ascii="Arial" w:eastAsia="Times New Roman" w:hAnsi="Arial"/>
                <w:sz w:val="18"/>
                <w:szCs w:val="20"/>
                <w:u w:val="single"/>
                <w:lang w:val="en-GB" w:eastAsia="ko-KR"/>
              </w:rPr>
              <w:t xml:space="preserve"> 12</w:t>
            </w:r>
          </w:p>
        </w:tc>
        <w:tc>
          <w:tcPr>
            <w:tcW w:w="2980" w:type="pct"/>
            <w:vAlign w:val="center"/>
          </w:tcPr>
          <w:p w14:paraId="5FAA8BB5" w14:textId="34AAA2E5"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Pr>
                <w:rFonts w:ascii="Arial" w:eastAsia="Times New Roman" w:hAnsi="Arial"/>
                <w:sz w:val="18"/>
                <w:szCs w:val="20"/>
                <w:lang w:val="en-GB" w:eastAsia="ko-KR"/>
              </w:rPr>
              <w:t>3*4</w:t>
            </w:r>
          </w:p>
        </w:tc>
      </w:tr>
    </w:tbl>
    <w:p w14:paraId="72EFA7B8" w14:textId="019E4EBE" w:rsidR="009E256B" w:rsidRDefault="009E256B" w:rsidP="002A2D17">
      <w:pPr>
        <w:rPr>
          <w:lang w:eastAsia="x-none"/>
        </w:rPr>
      </w:pPr>
    </w:p>
    <w:p w14:paraId="313F844C" w14:textId="6CC33711" w:rsidR="009E256B" w:rsidRDefault="009E256B" w:rsidP="002A2D17">
      <w:pPr>
        <w:rPr>
          <w:lang w:eastAsia="x-none"/>
        </w:rPr>
      </w:pPr>
    </w:p>
    <w:p w14:paraId="18247C41" w14:textId="4ABF893A" w:rsidR="009E256B" w:rsidRDefault="009E256B" w:rsidP="002A2D17">
      <w:pPr>
        <w:rPr>
          <w:lang w:eastAsia="x-none"/>
        </w:rPr>
      </w:pPr>
    </w:p>
    <w:p w14:paraId="266AB0FA" w14:textId="77777777" w:rsidR="009E256B" w:rsidRDefault="009E256B" w:rsidP="002A2D17">
      <w:pPr>
        <w:rPr>
          <w:lang w:eastAsia="x-none"/>
        </w:rPr>
      </w:pPr>
    </w:p>
    <w:p w14:paraId="31E9175F" w14:textId="563278B1" w:rsidR="009459AA" w:rsidRDefault="009459AA" w:rsidP="009459AA">
      <w:pPr>
        <w:rPr>
          <w:b/>
          <w:bCs/>
          <w:lang w:eastAsia="x-none"/>
        </w:rPr>
      </w:pPr>
      <w:r w:rsidRPr="00424C67">
        <w:rPr>
          <w:b/>
          <w:bCs/>
          <w:lang w:eastAsia="x-none"/>
        </w:rPr>
        <w:t xml:space="preserve">Proposal </w:t>
      </w:r>
      <w:r>
        <w:rPr>
          <w:b/>
          <w:bCs/>
          <w:lang w:eastAsia="x-none"/>
        </w:rPr>
        <w:t>1</w:t>
      </w:r>
      <w:r w:rsidRPr="00424C67">
        <w:rPr>
          <w:b/>
          <w:bCs/>
          <w:lang w:eastAsia="x-none"/>
        </w:rPr>
        <w:t xml:space="preserve">: </w:t>
      </w:r>
      <w:r>
        <w:rPr>
          <w:b/>
          <w:bCs/>
          <w:lang w:eastAsia="x-none"/>
        </w:rPr>
        <w:t>Introduce the restriction of number for RBs allocated to PUSCH/PDSCH for different subcarrier spacings in the UE.</w:t>
      </w:r>
    </w:p>
    <w:p w14:paraId="313C73B7" w14:textId="380834B5" w:rsidR="002A2D17" w:rsidRDefault="002A2D17" w:rsidP="002A2D17">
      <w:pPr>
        <w:rPr>
          <w:lang w:eastAsia="x-none"/>
        </w:rPr>
      </w:pPr>
      <w:r>
        <w:rPr>
          <w:lang w:eastAsia="x-none"/>
        </w:rPr>
        <w:t>For downlink data that 5MHz will apply to both unicast and broadcast channel. The existing network allow higher data allocation for broadcast. Before UE report RedCap capability, gNB do not know it can only receive narrower bandwidth of</w:t>
      </w:r>
      <w:r w:rsidR="009E256B">
        <w:rPr>
          <w:lang w:eastAsia="x-none"/>
        </w:rPr>
        <w:t xml:space="preserve"> broadcast data. Thus, configured with larger bandwidth broadcast may let UE not able to access network. From our perspective, we think that can serve as restricting of RedCap UE access network in certain band. Even in Rel-17 RedCap UE, it could be similar issue, although the not more than 20MHz bandwidth would be usually configured in existing NR network.  </w:t>
      </w:r>
    </w:p>
    <w:p w14:paraId="5D8CB824" w14:textId="1D720E89" w:rsidR="006743BB" w:rsidRDefault="00022310" w:rsidP="00022310">
      <w:pPr>
        <w:pStyle w:val="1"/>
      </w:pPr>
      <w:r>
        <w:t>Peak data rate</w:t>
      </w:r>
      <w:r w:rsidRPr="00022310">
        <w:t xml:space="preserve"> reduction</w:t>
      </w:r>
    </w:p>
    <w:p w14:paraId="14E9A14D" w14:textId="77777777" w:rsidR="001C2B12" w:rsidRDefault="009E256B" w:rsidP="00B85AB6">
      <w:r>
        <w:t>We see the peak data rate of UE would be also reflected in the UE capability specification. W</w:t>
      </w:r>
      <w:r w:rsidR="001C2B12">
        <w:t>ID</w:t>
      </w:r>
      <w:r>
        <w:t xml:space="preserve"> had recommend </w:t>
      </w:r>
      <w:r w:rsidR="001C2B12">
        <w:t>to set the direct reduce the component</w:t>
      </w:r>
      <w:r w:rsidR="001C2B12" w:rsidRPr="001C2B12">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001C2B12" w:rsidRPr="007D1E1D">
        <w:t xml:space="preserve"> is no smaller than </w:t>
      </w:r>
      <w:r w:rsidR="001C2B12">
        <w:t>1, instead of 4</w:t>
      </w:r>
      <w:r w:rsidR="001C2B12" w:rsidRPr="007D1E1D">
        <w:t>.</w:t>
      </w:r>
      <w:r w:rsidR="001C2B12">
        <w:t xml:space="preserve"> This is the same scaling as BW reduction from 20MHz to 5MHz. And it is naturally matching with the BW3 definition. </w:t>
      </w:r>
    </w:p>
    <w:p w14:paraId="0DF9135E" w14:textId="67E53F6D" w:rsidR="00B85AB6" w:rsidRDefault="001C2B12" w:rsidP="00B85AB6">
      <w:r>
        <w:t xml:space="preserve">In the specification, there is another possibility to combine the PR1 with BW3. It is all due to the data rate of UE capability defined as following: </w:t>
      </w:r>
    </w:p>
    <w:p w14:paraId="67A64854" w14:textId="15B19FB0" w:rsidR="001C2B12" w:rsidRDefault="001C2B12" w:rsidP="00B85AB6">
      <w:r>
        <w:t>“</w:t>
      </w:r>
      <w:r w:rsidRPr="007D1E1D">
        <w:object w:dxaOrig="6619" w:dyaOrig="700" w14:anchorId="7131A05F">
          <v:shape id="_x0000_i1026" type="#_x0000_t75" style="width:330.1pt;height:34.35pt" o:ole="">
            <v:imagedata r:id="rId10" o:title=""/>
          </v:shape>
          <o:OLEObject Type="Embed" ProgID="Equation.3" ShapeID="_x0000_i1026" DrawAspect="Content" ObjectID="_1726088789" r:id="rId11"/>
        </w:object>
      </w:r>
      <w:r>
        <w:t>”</w:t>
      </w:r>
    </w:p>
    <w:p w14:paraId="5A47D07E" w14:textId="3CF64351" w:rsidR="001C2B12" w:rsidRDefault="001C2B12" w:rsidP="00B85AB6">
      <w:r>
        <w:lastRenderedPageBreak/>
        <w:t xml:space="preserve">The </w:t>
      </w:r>
      <w:r w:rsidRPr="007D1E1D">
        <w:object w:dxaOrig="740" w:dyaOrig="340" w14:anchorId="276F26FC">
          <v:shape id="_x0000_i1027" type="#_x0000_t75" style="width:37.65pt;height:16.6pt" o:ole="">
            <v:imagedata r:id="rId12" o:title=""/>
          </v:shape>
          <o:OLEObject Type="Embed" ProgID="Equation.3" ShapeID="_x0000_i1027" DrawAspect="Content" ObjectID="_1726088790" r:id="rId13"/>
        </w:object>
      </w:r>
      <w:r w:rsidRPr="007D1E1D">
        <w:t xml:space="preserve"> is the maximum RB allocation in bandwidth </w:t>
      </w:r>
      <w:r w:rsidRPr="007D1E1D">
        <w:object w:dxaOrig="560" w:dyaOrig="300" w14:anchorId="6E375594">
          <v:shape id="_x0000_i1028" type="#_x0000_t75" style="width:27.7pt;height:14.95pt" o:ole="">
            <v:imagedata r:id="rId14" o:title=""/>
          </v:shape>
          <o:OLEObject Type="Embed" ProgID="Equation.3" ShapeID="_x0000_i1028" DrawAspect="Content" ObjectID="_1726088791" r:id="rId15"/>
        </w:object>
      </w:r>
      <w:r>
        <w:t xml:space="preserve">. And, it </w:t>
      </w:r>
      <w:r w:rsidR="001B6410">
        <w:t>refers</w:t>
      </w:r>
      <w:r>
        <w:t xml:space="preserve"> the 38.101, which is defining the system bandwidth. If the </w:t>
      </w:r>
      <w:r w:rsidRPr="007D1E1D">
        <w:object w:dxaOrig="740" w:dyaOrig="340" w14:anchorId="53518C45">
          <v:shape id="_x0000_i1029" type="#_x0000_t75" style="width:37.65pt;height:16.6pt" o:ole="">
            <v:imagedata r:id="rId12" o:title=""/>
          </v:shape>
          <o:OLEObject Type="Embed" ProgID="Equation.3" ShapeID="_x0000_i1029" DrawAspect="Content" ObjectID="_1726088792" r:id="rId16"/>
        </w:object>
      </w:r>
      <w:r>
        <w:t xml:space="preserve">can be redefined as UE maximal number of </w:t>
      </w:r>
      <w:r w:rsidR="001B6410">
        <w:t xml:space="preserve">allocatable </w:t>
      </w:r>
      <w:r>
        <w:t>RB</w:t>
      </w:r>
      <w:r w:rsidR="001B6410">
        <w:t>s</w:t>
      </w:r>
      <w:r>
        <w:t xml:space="preserve">, then, the PR1 can also supported. However, this may introduce other change in UE capability definition. We can follow the WID recommendation. </w:t>
      </w:r>
    </w:p>
    <w:p w14:paraId="1E08F6C0" w14:textId="0C90CC59" w:rsidR="00B85AB6" w:rsidRDefault="00B85AB6" w:rsidP="001E204A">
      <w:pPr>
        <w:rPr>
          <w:b/>
          <w:bCs/>
        </w:rPr>
      </w:pPr>
      <w:r w:rsidRPr="001C2B12">
        <w:rPr>
          <w:b/>
          <w:bCs/>
        </w:rPr>
        <w:t xml:space="preserve">Proposal </w:t>
      </w:r>
      <w:r w:rsidR="001C2B12" w:rsidRPr="001C2B12">
        <w:rPr>
          <w:b/>
          <w:bCs/>
        </w:rPr>
        <w:t>2</w:t>
      </w:r>
      <w:r w:rsidRPr="001C2B12">
        <w:rPr>
          <w:b/>
          <w:bCs/>
        </w:rPr>
        <w:t xml:space="preserve">: RAN1 </w:t>
      </w:r>
      <w:r w:rsidR="001C2B12" w:rsidRPr="001C2B12">
        <w:rPr>
          <w:b/>
          <w:bCs/>
        </w:rPr>
        <w:t xml:space="preserve">introduce restriction </w:t>
      </w:r>
      <m:oMath>
        <m:sSubSup>
          <m:sSubSupPr>
            <m:ctrlPr>
              <w:rPr>
                <w:rFonts w:ascii="Cambria Math" w:hAnsi="Cambria Math"/>
                <w:b/>
                <w:bCs/>
                <w:i/>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rPr>
            </m:ctrlPr>
          </m:sSubSupPr>
          <m:e>
            <m:r>
              <m:rPr>
                <m:sty m:val="bi"/>
              </m:rPr>
              <w:rPr>
                <w:rFonts w:ascii="Cambria Math"/>
              </w:rPr>
              <m:t>Q</m:t>
            </m:r>
          </m:e>
          <m:sub>
            <m:r>
              <m:rPr>
                <m:sty m:val="bi"/>
              </m:rPr>
              <w:rPr>
                <w:rFonts w:ascii="Cambria Math"/>
              </w:rPr>
              <m:t>m</m:t>
            </m:r>
          </m:sub>
          <m:sup>
            <m:d>
              <m:dPr>
                <m:ctrlPr>
                  <w:rPr>
                    <w:rFonts w:ascii="Cambria Math" w:hAnsi="Cambria Math"/>
                    <w:b/>
                    <w:bCs/>
                    <w:i/>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rPr>
            </m:ctrlPr>
          </m:sSubSupPr>
          <m:e>
            <m:r>
              <m:rPr>
                <m:sty m:val="bi"/>
              </m:rPr>
              <w:rPr>
                <w:rFonts w:ascii="Cambria Math"/>
              </w:rPr>
              <m:t>f</m:t>
            </m:r>
          </m:e>
          <m:sub/>
          <m:sup>
            <m:d>
              <m:dPr>
                <m:ctrlPr>
                  <w:rPr>
                    <w:rFonts w:ascii="Cambria Math" w:hAnsi="Cambria Math"/>
                    <w:b/>
                    <w:bCs/>
                    <w:i/>
                  </w:rPr>
                </m:ctrlPr>
              </m:dPr>
              <m:e>
                <m:r>
                  <m:rPr>
                    <m:sty m:val="bi"/>
                  </m:rPr>
                  <w:rPr>
                    <w:rFonts w:ascii="Cambria Math"/>
                  </w:rPr>
                  <m:t>j</m:t>
                </m:r>
              </m:e>
            </m:d>
          </m:sup>
        </m:sSubSup>
      </m:oMath>
      <w:r w:rsidR="001C2B12" w:rsidRPr="001C2B12">
        <w:rPr>
          <w:b/>
          <w:bCs/>
        </w:rPr>
        <w:t xml:space="preserve"> is no smaller than 1 only in case of 5MHz RedCap UE, in the UE capability specification</w:t>
      </w:r>
      <w:r w:rsidRPr="001C2B12">
        <w:rPr>
          <w:b/>
          <w:bCs/>
        </w:rPr>
        <w:t>.</w:t>
      </w:r>
    </w:p>
    <w:p w14:paraId="29FC183F" w14:textId="03D52EE2" w:rsidR="001C2B12" w:rsidRPr="001C2B12" w:rsidRDefault="001C2B12" w:rsidP="001E204A">
      <w:r>
        <w:t>In general, both BW3 and PR1 mentioned in above can be described in UE capability specification to have a consolidated definition.</w:t>
      </w:r>
    </w:p>
    <w:p w14:paraId="61DDF406" w14:textId="77777777" w:rsidR="004103D7" w:rsidRDefault="00117472" w:rsidP="00C6119D">
      <w:pPr>
        <w:pStyle w:val="1"/>
      </w:pPr>
      <w:r>
        <w:rPr>
          <w:rFonts w:eastAsia="宋体" w:hint="eastAsia"/>
          <w:lang w:eastAsia="zh-CN"/>
        </w:rPr>
        <w:t>Co</w:t>
      </w:r>
      <w:r w:rsidR="004103D7">
        <w:t>nclusion</w:t>
      </w:r>
    </w:p>
    <w:p w14:paraId="1AE77D32" w14:textId="2D0F4233" w:rsidR="004A1143" w:rsidRDefault="004D1940" w:rsidP="004A1143">
      <w:pPr>
        <w:rPr>
          <w:lang w:eastAsia="x-none"/>
        </w:rPr>
      </w:pPr>
      <w:r w:rsidRPr="004D1940">
        <w:rPr>
          <w:lang w:eastAsia="x-none"/>
        </w:rPr>
        <w:t>In this contribution,</w:t>
      </w:r>
      <w:r w:rsidR="00C33CEB">
        <w:t xml:space="preserve"> we have discussed and analyzed the further enhancement of the RedCap devices. For the bandwidth</w:t>
      </w:r>
      <w:r w:rsidR="001C2B12">
        <w:t xml:space="preserve"> reduction</w:t>
      </w:r>
      <w:r w:rsidR="00C33CEB">
        <w:t xml:space="preserve">, data rate </w:t>
      </w:r>
      <w:r w:rsidR="001C2B12">
        <w:t xml:space="preserve">reduction </w:t>
      </w:r>
      <w:r w:rsidR="00C33CEB">
        <w:t xml:space="preserve">and </w:t>
      </w:r>
      <w:r w:rsidR="001C2B12">
        <w:t>how to combined them. W</w:t>
      </w:r>
      <w:r w:rsidR="00C33CEB">
        <w:t xml:space="preserve">e discussed the </w:t>
      </w:r>
      <w:r w:rsidR="001C2B12">
        <w:t>motivation and benefit of the method. T</w:t>
      </w:r>
      <w:r w:rsidR="00C33CEB">
        <w:t>he potential change</w:t>
      </w:r>
      <w:r w:rsidR="00D257CC">
        <w:t>s</w:t>
      </w:r>
      <w:r w:rsidR="00C33CEB">
        <w:t xml:space="preserve"> </w:t>
      </w:r>
      <w:r w:rsidR="001C2B12">
        <w:t xml:space="preserve">are </w:t>
      </w:r>
      <w:r w:rsidR="00C33CEB">
        <w:t>to be considered</w:t>
      </w:r>
      <w:r w:rsidR="001C2B12">
        <w:t xml:space="preserve"> in UE capability specification</w:t>
      </w:r>
      <w:r w:rsidR="00C33CEB">
        <w:t>.</w:t>
      </w:r>
    </w:p>
    <w:p w14:paraId="61AA3C72" w14:textId="5B720ED1" w:rsidR="000725E0" w:rsidRDefault="00D16E25" w:rsidP="004A1143">
      <w:pPr>
        <w:rPr>
          <w:lang w:eastAsia="x-none"/>
        </w:rPr>
      </w:pPr>
      <w:r>
        <w:rPr>
          <w:lang w:eastAsia="x-none"/>
        </w:rPr>
        <w:t xml:space="preserve">As summary, we </w:t>
      </w:r>
      <w:r w:rsidR="001C2B12">
        <w:rPr>
          <w:lang w:eastAsia="x-none"/>
        </w:rPr>
        <w:t>propose</w:t>
      </w:r>
      <w:r w:rsidR="00C33CEB">
        <w:rPr>
          <w:lang w:eastAsia="x-none"/>
        </w:rPr>
        <w:t>:</w:t>
      </w:r>
    </w:p>
    <w:p w14:paraId="5AEC2D81" w14:textId="694D0EB1" w:rsidR="001C2B12" w:rsidRDefault="001C2B12" w:rsidP="001C2B12">
      <w:pPr>
        <w:rPr>
          <w:b/>
          <w:bCs/>
          <w:lang w:eastAsia="x-none"/>
        </w:rPr>
      </w:pPr>
      <w:r w:rsidRPr="00424C67">
        <w:rPr>
          <w:b/>
          <w:bCs/>
          <w:lang w:eastAsia="x-none"/>
        </w:rPr>
        <w:t xml:space="preserve">Proposal </w:t>
      </w:r>
      <w:r>
        <w:rPr>
          <w:b/>
          <w:bCs/>
          <w:lang w:eastAsia="x-none"/>
        </w:rPr>
        <w:t>1</w:t>
      </w:r>
      <w:r w:rsidRPr="00424C67">
        <w:rPr>
          <w:b/>
          <w:bCs/>
          <w:lang w:eastAsia="x-none"/>
        </w:rPr>
        <w:t xml:space="preserve">: </w:t>
      </w:r>
      <w:r>
        <w:rPr>
          <w:b/>
          <w:bCs/>
          <w:lang w:eastAsia="x-none"/>
        </w:rPr>
        <w:t>Introduce the restriction of number for RBs allocated to PUSCH/PDSCH for different subcarrier spacings in the UE</w:t>
      </w:r>
      <w:r w:rsidR="009459AA">
        <w:rPr>
          <w:b/>
          <w:bCs/>
          <w:lang w:eastAsia="x-none"/>
        </w:rPr>
        <w:t>.</w:t>
      </w:r>
    </w:p>
    <w:p w14:paraId="6D6FBF1A" w14:textId="77777777" w:rsidR="001C2B12" w:rsidRDefault="001C2B12" w:rsidP="001C2B12">
      <w:pPr>
        <w:rPr>
          <w:b/>
          <w:bCs/>
        </w:rPr>
      </w:pPr>
      <w:r w:rsidRPr="001C2B12">
        <w:rPr>
          <w:b/>
          <w:bCs/>
        </w:rPr>
        <w:t xml:space="preserve">Proposal 2: RAN1 introduce restriction </w:t>
      </w:r>
      <m:oMath>
        <m:sSubSup>
          <m:sSubSupPr>
            <m:ctrlPr>
              <w:rPr>
                <w:rFonts w:ascii="Cambria Math" w:hAnsi="Cambria Math"/>
                <w:b/>
                <w:bCs/>
                <w:i/>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rPr>
            </m:ctrlPr>
          </m:sSubSupPr>
          <m:e>
            <m:r>
              <m:rPr>
                <m:sty m:val="bi"/>
              </m:rPr>
              <w:rPr>
                <w:rFonts w:ascii="Cambria Math"/>
              </w:rPr>
              <m:t>Q</m:t>
            </m:r>
          </m:e>
          <m:sub>
            <m:r>
              <m:rPr>
                <m:sty m:val="bi"/>
              </m:rPr>
              <w:rPr>
                <w:rFonts w:ascii="Cambria Math"/>
              </w:rPr>
              <m:t>m</m:t>
            </m:r>
          </m:sub>
          <m:sup>
            <m:d>
              <m:dPr>
                <m:ctrlPr>
                  <w:rPr>
                    <w:rFonts w:ascii="Cambria Math" w:hAnsi="Cambria Math"/>
                    <w:b/>
                    <w:bCs/>
                    <w:i/>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rPr>
            </m:ctrlPr>
          </m:sSubSupPr>
          <m:e>
            <m:r>
              <m:rPr>
                <m:sty m:val="bi"/>
              </m:rPr>
              <w:rPr>
                <w:rFonts w:ascii="Cambria Math"/>
              </w:rPr>
              <m:t>f</m:t>
            </m:r>
          </m:e>
          <m:sub/>
          <m:sup>
            <m:d>
              <m:dPr>
                <m:ctrlPr>
                  <w:rPr>
                    <w:rFonts w:ascii="Cambria Math" w:hAnsi="Cambria Math"/>
                    <w:b/>
                    <w:bCs/>
                    <w:i/>
                  </w:rPr>
                </m:ctrlPr>
              </m:dPr>
              <m:e>
                <m:r>
                  <m:rPr>
                    <m:sty m:val="bi"/>
                  </m:rPr>
                  <w:rPr>
                    <w:rFonts w:ascii="Cambria Math"/>
                  </w:rPr>
                  <m:t>j</m:t>
                </m:r>
              </m:e>
            </m:d>
          </m:sup>
        </m:sSubSup>
      </m:oMath>
      <w:r w:rsidRPr="001C2B12">
        <w:rPr>
          <w:b/>
          <w:bCs/>
        </w:rPr>
        <w:t xml:space="preserve"> is no smaller than 1 only in case of 5MHz RedCap UE, in the UE capability specification.</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73032A13"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sectPr w:rsidR="00FF6B7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2FBD" w14:textId="77777777" w:rsidR="009F511E" w:rsidRDefault="009F511E">
      <w:r>
        <w:separator/>
      </w:r>
    </w:p>
  </w:endnote>
  <w:endnote w:type="continuationSeparator" w:id="0">
    <w:p w14:paraId="6DFD0887" w14:textId="77777777" w:rsidR="009F511E" w:rsidRDefault="009F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6456B" w14:textId="77777777" w:rsidR="009F511E" w:rsidRDefault="009F511E">
      <w:r>
        <w:separator/>
      </w:r>
    </w:p>
  </w:footnote>
  <w:footnote w:type="continuationSeparator" w:id="0">
    <w:p w14:paraId="27503231" w14:textId="77777777" w:rsidR="009F511E" w:rsidRDefault="009F5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0774356">
    <w:abstractNumId w:val="2"/>
  </w:num>
  <w:num w:numId="2" w16cid:durableId="1153832148">
    <w:abstractNumId w:val="11"/>
  </w:num>
  <w:num w:numId="3" w16cid:durableId="943804186">
    <w:abstractNumId w:val="21"/>
  </w:num>
  <w:num w:numId="4" w16cid:durableId="1458984333">
    <w:abstractNumId w:val="18"/>
  </w:num>
  <w:num w:numId="5" w16cid:durableId="1312053220">
    <w:abstractNumId w:val="5"/>
  </w:num>
  <w:num w:numId="6" w16cid:durableId="54810578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15"/>
  </w:num>
  <w:num w:numId="8" w16cid:durableId="1240748717">
    <w:abstractNumId w:val="9"/>
  </w:num>
  <w:num w:numId="9" w16cid:durableId="36514337">
    <w:abstractNumId w:val="16"/>
  </w:num>
  <w:num w:numId="10" w16cid:durableId="1832597771">
    <w:abstractNumId w:val="12"/>
  </w:num>
  <w:num w:numId="11" w16cid:durableId="193538800">
    <w:abstractNumId w:val="10"/>
  </w:num>
  <w:num w:numId="12" w16cid:durableId="203370823">
    <w:abstractNumId w:val="4"/>
  </w:num>
  <w:num w:numId="13" w16cid:durableId="1730303228">
    <w:abstractNumId w:val="6"/>
  </w:num>
  <w:num w:numId="14" w16cid:durableId="1726298111">
    <w:abstractNumId w:val="7"/>
  </w:num>
  <w:num w:numId="15" w16cid:durableId="1860073">
    <w:abstractNumId w:val="20"/>
  </w:num>
  <w:num w:numId="16" w16cid:durableId="1636762493">
    <w:abstractNumId w:val="19"/>
  </w:num>
  <w:num w:numId="17" w16cid:durableId="132139990">
    <w:abstractNumId w:val="14"/>
  </w:num>
  <w:num w:numId="18" w16cid:durableId="394091150">
    <w:abstractNumId w:val="8"/>
  </w:num>
  <w:num w:numId="19" w16cid:durableId="1085423484">
    <w:abstractNumId w:val="13"/>
  </w:num>
  <w:num w:numId="20" w16cid:durableId="104949486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5379</TotalTime>
  <Pages>3</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89</cp:revision>
  <cp:lastPrinted>2013-05-13T04:37:00Z</cp:lastPrinted>
  <dcterms:created xsi:type="dcterms:W3CDTF">2022-04-24T04:02:00Z</dcterms:created>
  <dcterms:modified xsi:type="dcterms:W3CDTF">2022-09-30T16:14:00Z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